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5"/>
        <w:numPr>
          <w:ilvl w:val="0"/>
          <w:numId w:val="0"/>
        </w:numPr>
        <w:ind w:right="54"/>
        <w:jc w:val="center"/>
        <w:keepLines w:val="0"/>
        <w:keepNext w:val="0"/>
        <w:spacing w:before="0" w:after="0"/>
        <w:rPr>
          <w:rFonts w:ascii="Times New Roman" w:hAnsi="Times New Roman"/>
          <w:sz w:val="22"/>
          <w:szCs w:val="22"/>
          <w:highlight w:val="none"/>
        </w:rPr>
      </w:pPr>
      <w:r>
        <w:rPr>
          <w:rFonts w:ascii="Times New Roman" w:hAnsi="Times New Roman"/>
          <w:sz w:val="22"/>
          <w:szCs w:val="22"/>
        </w:rPr>
        <w:t xml:space="preserve">Протокол №</w:t>
      </w:r>
      <w:r>
        <w:rPr>
          <w:rFonts w:ascii="Times New Roman" w:hAnsi="Times New Roman"/>
          <w:sz w:val="22"/>
          <w:szCs w:val="22"/>
          <w:highlight w:val="none"/>
        </w:rPr>
        <w:t xml:space="preserve">РМР</w:t>
      </w:r>
      <w:r>
        <w:rPr>
          <w:rFonts w:ascii="Times New Roman" w:hAnsi="Times New Roman"/>
          <w:sz w:val="22"/>
          <w:szCs w:val="22"/>
          <w:highlight w:val="none"/>
        </w:rPr>
        <w:t xml:space="preserve">/</w:t>
      </w:r>
      <w:r>
        <w:rPr>
          <w:rFonts w:ascii="Times New Roman" w:hAnsi="Times New Roman"/>
          <w:sz w:val="22"/>
          <w:szCs w:val="22"/>
          <w:highlight w:val="none"/>
        </w:rPr>
        <w:t xml:space="preserve">907</w:t>
      </w:r>
      <w:r>
        <w:rPr>
          <w:rFonts w:ascii="Times New Roman" w:hAnsi="Times New Roman"/>
          <w:sz w:val="22"/>
          <w:szCs w:val="22"/>
          <w:highlight w:val="none"/>
        </w:rPr>
      </w:r>
      <w:r>
        <w:rPr>
          <w:rFonts w:ascii="Times New Roman" w:hAnsi="Times New Roman"/>
          <w:sz w:val="22"/>
          <w:szCs w:val="22"/>
          <w:highlight w:val="none"/>
        </w:rPr>
      </w:r>
    </w:p>
    <w:p>
      <w:pPr>
        <w:ind w:right="54" w:firstLine="0"/>
        <w:jc w:val="center"/>
        <w:spacing w:line="240" w:lineRule="auto"/>
        <w:rPr>
          <w:b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  <w:t xml:space="preserve">очно-заочного</w:t>
      </w:r>
      <w:r>
        <w:rPr>
          <w:b/>
          <w:bCs/>
          <w:sz w:val="22"/>
          <w:szCs w:val="22"/>
        </w:rPr>
        <w:t xml:space="preserve"> заседания</w:t>
      </w:r>
      <w:r>
        <w:rPr>
          <w:b/>
          <w:sz w:val="22"/>
          <w:szCs w:val="22"/>
        </w:rPr>
        <w:t xml:space="preserve"> Постоянно действующей конкурсной комиссии </w:t>
      </w:r>
      <w:r>
        <w:rPr>
          <w:b/>
          <w:sz w:val="22"/>
          <w:szCs w:val="22"/>
        </w:rPr>
        <w:t xml:space="preserve">(далее - Комиссия)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right="54" w:firstLine="0"/>
        <w:jc w:val="center"/>
        <w:spacing w:line="240" w:lineRule="auto"/>
        <w:rPr>
          <w:b/>
          <w:bCs/>
          <w:sz w:val="22"/>
          <w:szCs w:val="22"/>
          <w14:ligatures w14:val="none"/>
        </w:rPr>
      </w:pP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об отмене </w:t>
      </w:r>
      <w:r>
        <w:rPr>
          <w:b/>
          <w:bCs/>
          <w:sz w:val="22"/>
          <w:szCs w:val="22"/>
        </w:rPr>
        <w:t xml:space="preserve">закупки</w:t>
      </w:r>
      <w:r>
        <w:rPr>
          <w:b/>
          <w:bCs/>
          <w:sz w:val="22"/>
          <w:szCs w:val="22"/>
          <w14:ligatures w14:val="none"/>
        </w:rPr>
      </w:r>
      <w:r>
        <w:rPr>
          <w:b/>
          <w:bCs/>
          <w:sz w:val="22"/>
          <w:szCs w:val="22"/>
          <w14:ligatures w14:val="none"/>
        </w:rPr>
      </w:r>
    </w:p>
    <w:p>
      <w:pPr>
        <w:ind w:right="54" w:firstLine="0"/>
        <w:jc w:val="center"/>
        <w:spacing w:line="240" w:lineRule="auto"/>
        <w:rPr>
          <w:b/>
          <w:bCs/>
          <w:sz w:val="22"/>
          <w:szCs w:val="22"/>
          <w14:ligatures w14:val="none"/>
        </w:rPr>
      </w:pPr>
      <w:r>
        <w:rPr>
          <w:b/>
          <w:bCs/>
          <w:sz w:val="22"/>
          <w:szCs w:val="22"/>
        </w:rPr>
        <w:t xml:space="preserve">(</w:t>
      </w:r>
      <w:r>
        <w:rPr>
          <w:b/>
          <w:bCs/>
          <w:sz w:val="22"/>
          <w:szCs w:val="22"/>
        </w:rPr>
        <w:t xml:space="preserve">ЭТП РАД №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rssmr25276DP</w:t>
      </w:r>
      <w:r>
        <w:rPr>
          <w:b/>
          <w:bCs/>
          <w:sz w:val="22"/>
          <w:szCs w:val="22"/>
        </w:rPr>
        <w:t xml:space="preserve">, ЕИС № </w:t>
      </w:r>
      <w:r>
        <w:rPr>
          <w:b/>
          <w:bCs/>
          <w:sz w:val="22"/>
          <w:szCs w:val="22"/>
        </w:rPr>
        <w:t xml:space="preserve">32514572700</w:t>
      </w:r>
      <w:r>
        <w:rPr>
          <w:b/>
          <w:bCs/>
          <w:sz w:val="22"/>
          <w:szCs w:val="22"/>
        </w:rPr>
        <w:t xml:space="preserve">)</w:t>
      </w:r>
      <w:r>
        <w:rPr>
          <w:b/>
          <w:bCs/>
          <w:sz w:val="22"/>
          <w:szCs w:val="22"/>
          <w14:ligatures w14:val="none"/>
        </w:rPr>
      </w:r>
      <w:r>
        <w:rPr>
          <w:b/>
          <w:bCs/>
          <w:sz w:val="22"/>
          <w:szCs w:val="22"/>
          <w14:ligatures w14:val="none"/>
        </w:rPr>
      </w:r>
    </w:p>
    <w:p>
      <w:pPr>
        <w:ind w:right="54" w:firstLine="0"/>
        <w:jc w:val="center"/>
        <w:spacing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tbl>
      <w:tblPr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962"/>
        <w:gridCol w:w="2480"/>
        <w:gridCol w:w="2481"/>
      </w:tblGrid>
      <w:tr>
        <w:tblPrEx/>
        <w:trPr>
          <w:trHeight w:val="606"/>
        </w:trPr>
        <w:tc>
          <w:tcPr>
            <w:tcW w:w="4962" w:type="dxa"/>
            <w:vAlign w:val="center"/>
            <w:textDirection w:val="lrTb"/>
            <w:noWrap w:val="false"/>
          </w:tcPr>
          <w:p>
            <w:pPr>
              <w:pStyle w:val="923"/>
              <w:ind w:left="14" w:firstLine="1"/>
              <w:jc w:val="center"/>
              <w:widowControl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Место заседания</w:t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W w:w="2480" w:type="dxa"/>
            <w:vAlign w:val="center"/>
            <w:textDirection w:val="lrTb"/>
            <w:noWrap w:val="false"/>
          </w:tcPr>
          <w:p>
            <w:pPr>
              <w:pStyle w:val="923"/>
              <w:ind w:left="-79" w:right="-52" w:firstLine="1"/>
              <w:jc w:val="center"/>
              <w:widowControl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Дата принятия решения</w:t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W w:w="2481" w:type="dxa"/>
            <w:vAlign w:val="center"/>
            <w:textDirection w:val="lrTb"/>
            <w:noWrap w:val="false"/>
          </w:tcPr>
          <w:p>
            <w:pPr>
              <w:pStyle w:val="923"/>
              <w:ind w:left="-79" w:right="-52" w:firstLine="1"/>
              <w:jc w:val="center"/>
              <w:widowControl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Дата подписания протокола</w:t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</w:tr>
      <w:tr>
        <w:tblPrEx/>
        <w:trPr>
          <w:trHeight w:val="830"/>
        </w:trPr>
        <w:tc>
          <w:tcPr>
            <w:tcW w:w="4962" w:type="dxa"/>
            <w:vAlign w:val="center"/>
            <w:textDirection w:val="lrTb"/>
            <w:noWrap w:val="false"/>
          </w:tcPr>
          <w:p>
            <w:pPr>
              <w:pStyle w:val="923"/>
              <w:ind w:firstLine="0"/>
              <w:jc w:val="center"/>
              <w:widowControl/>
              <w:rPr>
                <w:szCs w:val="24"/>
              </w:rPr>
            </w:pPr>
            <w:r>
              <w:rPr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szCs w:val="24"/>
              </w:rPr>
              <w:t xml:space="preserve">«</w:t>
            </w:r>
            <w:r>
              <w:rPr>
                <w:szCs w:val="24"/>
              </w:rPr>
              <w:t xml:space="preserve">Россети Московский </w:t>
            </w:r>
            <w:r>
              <w:rPr>
                <w:szCs w:val="24"/>
              </w:rPr>
              <w:t xml:space="preserve">регион</w:t>
            </w:r>
            <w:r>
              <w:rPr>
                <w:szCs w:val="24"/>
              </w:rPr>
              <w:t xml:space="preserve">»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480" w:type="dxa"/>
            <w:vAlign w:val="center"/>
            <w:textDirection w:val="lrTb"/>
            <w:noWrap w:val="false"/>
          </w:tcPr>
          <w:p>
            <w:pPr>
              <w:pStyle w:val="923"/>
              <w:ind w:firstLine="0"/>
              <w:jc w:val="center"/>
              <w:widowControl/>
              <w:tabs>
                <w:tab w:val="left" w:pos="567" w:leader="none"/>
                <w:tab w:val="left" w:pos="900" w:leader="none"/>
              </w:tabs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20.03.2025</w:t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W w:w="2481" w:type="dxa"/>
            <w:vAlign w:val="center"/>
            <w:textDirection w:val="lrTb"/>
            <w:noWrap w:val="false"/>
          </w:tcPr>
          <w:p>
            <w:pPr>
              <w:pStyle w:val="923"/>
              <w:ind w:firstLine="0"/>
              <w:jc w:val="center"/>
              <w:widowControl/>
              <w:tabs>
                <w:tab w:val="left" w:pos="567" w:leader="none"/>
                <w:tab w:val="left" w:pos="900" w:leader="none"/>
              </w:tabs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20.03.2025</w:t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</w:tr>
    </w:tbl>
    <w:p>
      <w:pPr>
        <w:pStyle w:val="905"/>
        <w:numPr>
          <w:ilvl w:val="0"/>
          <w:numId w:val="0"/>
        </w:numPr>
        <w:ind w:right="-88"/>
        <w:keepLines w:val="0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Настоящий Конкурс в электронной форме (далее –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Закупка) проводится с использованием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функционала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электронной торговой площадки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АО «Российский аукционный дом» (https://tender.lot-online.ru)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согласно правилам работы данной системы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05"/>
        <w:numPr>
          <w:ilvl w:val="0"/>
          <w:numId w:val="0"/>
        </w:numPr>
        <w:ind w:right="-88"/>
        <w:keepLines w:val="0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  <w:highlight w:val="yellow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yellow"/>
        </w:rPr>
      </w:r>
      <w:r>
        <w:rPr>
          <w:rFonts w:ascii="Times New Roman" w:hAnsi="Times New Roman"/>
          <w:b w:val="0"/>
          <w:bCs w:val="0"/>
          <w:sz w:val="24"/>
          <w:szCs w:val="24"/>
          <w:highlight w:val="yellow"/>
        </w:rPr>
      </w:r>
      <w:r>
        <w:rPr>
          <w:rFonts w:ascii="Times New Roman" w:hAnsi="Times New Roman"/>
          <w:b w:val="0"/>
          <w:bCs w:val="0"/>
          <w:sz w:val="24"/>
          <w:szCs w:val="24"/>
          <w:highlight w:val="yellow"/>
        </w:rPr>
      </w:r>
    </w:p>
    <w:p>
      <w:pPr>
        <w:pStyle w:val="905"/>
        <w:numPr>
          <w:ilvl w:val="0"/>
          <w:numId w:val="3"/>
        </w:numPr>
        <w:ind w:left="567" w:right="-88" w:hanging="567"/>
        <w:keepLines w:val="0"/>
        <w:keepNext w:val="0"/>
        <w:spacing w:before="0"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ОБЩАЯ ИНФОРМАЦИЯ О ЗАКУПКЕ:</w:t>
      </w: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</w:p>
    <w:p>
      <w:pPr>
        <w:pStyle w:val="939"/>
        <w:ind w:right="-88" w:firstLine="0"/>
        <w:keepLines/>
        <w:rPr>
          <w:rFonts w:eastAsia="Calibri"/>
          <w14:ligatures w14:val="none"/>
        </w:rPr>
      </w:pPr>
      <w:r>
        <w:rPr>
          <w:szCs w:val="24"/>
          <w:u w:val="single"/>
        </w:rPr>
        <w:t xml:space="preserve">Предмет </w:t>
      </w:r>
      <w:r>
        <w:rPr>
          <w:szCs w:val="24"/>
          <w:u w:val="single"/>
        </w:rPr>
        <w:t xml:space="preserve">закупки</w:t>
      </w:r>
      <w:r>
        <w:rPr>
          <w:szCs w:val="24"/>
        </w:rPr>
        <w:t xml:space="preserve">: </w:t>
      </w:r>
      <w:r>
        <w:rPr>
          <w:szCs w:val="24"/>
        </w:rPr>
        <w:t xml:space="preserve">О</w:t>
      </w:r>
      <w:r>
        <w:rPr>
          <w:szCs w:val="24"/>
        </w:rPr>
        <w:t xml:space="preserve">пределение </w:t>
      </w:r>
      <w:r>
        <w:rPr>
          <w:szCs w:val="24"/>
        </w:rPr>
        <w:t xml:space="preserve">поставщика н</w:t>
      </w:r>
      <w:r>
        <w:rPr>
          <w:rFonts w:eastAsia="Calibri"/>
        </w:rPr>
        <w:t xml:space="preserve">а </w:t>
      </w:r>
      <w:r>
        <w:rPr>
          <w:rFonts w:eastAsia="Calibri"/>
        </w:rPr>
        <w:t xml:space="preserve">поставку </w:t>
      </w:r>
      <w:r>
        <w:rPr>
          <w:rFonts w:eastAsia="Calibri"/>
        </w:rPr>
        <w:t xml:space="preserve">разъединителей рубящего типа </w:t>
        <w:br/>
        <w:t xml:space="preserve">для нужд филиалов ПАО «Россети Московский регион».</w:t>
      </w:r>
      <w:r>
        <w:rPr>
          <w:rFonts w:eastAsia="Calibri"/>
          <w14:ligatures w14:val="none"/>
        </w:rPr>
      </w:r>
      <w:r>
        <w:rPr>
          <w:rFonts w:eastAsia="Calibri"/>
          <w14:ligatures w14:val="none"/>
        </w:rPr>
      </w:r>
    </w:p>
    <w:p>
      <w:pPr>
        <w:ind w:right="-88" w:firstLine="0"/>
        <w:spacing w:line="240" w:lineRule="auto"/>
        <w:tabs>
          <w:tab w:val="left" w:pos="284" w:leader="none"/>
        </w:tabs>
        <w:rPr>
          <w:iCs/>
          <w:sz w:val="24"/>
          <w:szCs w:val="24"/>
        </w:rPr>
      </w:pPr>
      <w:r>
        <w:rPr>
          <w:iCs/>
          <w:sz w:val="24"/>
          <w:szCs w:val="24"/>
          <w:u w:val="single"/>
        </w:rPr>
        <w:t xml:space="preserve">Начальная (максимальная) цена лота:</w:t>
      </w:r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15 181 920,00</w:t>
      </w:r>
      <w:r>
        <w:rPr>
          <w:b/>
          <w:bCs/>
        </w:rPr>
        <w:t xml:space="preserve"> </w:t>
      </w:r>
      <w:r>
        <w:rPr>
          <w:iCs/>
          <w:sz w:val="24"/>
          <w:szCs w:val="24"/>
        </w:rPr>
        <w:t xml:space="preserve">руб., в </w:t>
      </w:r>
      <w:r>
        <w:rPr>
          <w:iCs/>
          <w:sz w:val="24"/>
          <w:szCs w:val="24"/>
        </w:rPr>
        <w:t xml:space="preserve">т.ч</w:t>
      </w:r>
      <w:r>
        <w:rPr>
          <w:iCs/>
          <w:sz w:val="24"/>
          <w:szCs w:val="24"/>
        </w:rPr>
        <w:t xml:space="preserve">. НДС 20%</w:t>
      </w:r>
      <w:r>
        <w:rPr>
          <w:bCs/>
          <w:sz w:val="24"/>
          <w:szCs w:val="24"/>
        </w:rPr>
        <w:t xml:space="preserve">. 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ind w:right="-88" w:firstLine="0"/>
        <w:spacing w:line="240" w:lineRule="auto"/>
        <w:rPr>
          <w:sz w:val="24"/>
          <w:szCs w:val="24"/>
          <w14:ligatures w14:val="none"/>
        </w:rPr>
        <w:outlineLvl w:val="1"/>
      </w:pPr>
      <w:r>
        <w:rPr>
          <w:sz w:val="24"/>
          <w:szCs w:val="24"/>
          <w:u w:val="single"/>
        </w:rPr>
        <w:t xml:space="preserve">Основание для </w:t>
      </w:r>
      <w:r>
        <w:rPr>
          <w:sz w:val="24"/>
          <w:szCs w:val="24"/>
          <w:u w:val="single"/>
        </w:rPr>
        <w:t xml:space="preserve">проведения </w:t>
      </w:r>
      <w:r>
        <w:rPr>
          <w:sz w:val="24"/>
          <w:szCs w:val="24"/>
          <w:u w:val="single"/>
        </w:rPr>
        <w:t xml:space="preserve">запроса предложений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Распоряжение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Московский регион»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409-02/27-297р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27.02.2025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right="-88" w:firstLine="0"/>
        <w:spacing w:line="240" w:lineRule="auto"/>
        <w:rPr>
          <w:sz w:val="24"/>
          <w:szCs w:val="24"/>
        </w:rPr>
        <w:outlineLvl w:val="1"/>
      </w:pPr>
      <w:r>
        <w:rPr>
          <w:sz w:val="24"/>
          <w:szCs w:val="24"/>
          <w:u w:val="single"/>
        </w:rPr>
        <w:t xml:space="preserve">Ограничение </w:t>
      </w:r>
      <w:r>
        <w:rPr>
          <w:sz w:val="24"/>
          <w:szCs w:val="24"/>
          <w:u w:val="single"/>
        </w:rPr>
        <w:t xml:space="preserve">участия</w:t>
      </w:r>
      <w:r>
        <w:rPr>
          <w:sz w:val="24"/>
          <w:szCs w:val="24"/>
          <w:u w:val="single"/>
        </w:rPr>
        <w:t xml:space="preserve"> только субъектов</w:t>
      </w:r>
      <w:r>
        <w:rPr>
          <w:sz w:val="24"/>
          <w:szCs w:val="24"/>
          <w:u w:val="single"/>
        </w:rPr>
        <w:t xml:space="preserve"> малого и среднего предпринимательства</w:t>
      </w:r>
      <w:r>
        <w:rPr>
          <w:sz w:val="24"/>
          <w:szCs w:val="24"/>
        </w:rPr>
        <w:t xml:space="preserve">: </w:t>
        <w:br/>
      </w:r>
      <w:r>
        <w:rPr>
          <w:sz w:val="24"/>
          <w:szCs w:val="24"/>
        </w:rPr>
        <w:t xml:space="preserve">не </w:t>
      </w:r>
      <w:r>
        <w:rPr>
          <w:sz w:val="24"/>
          <w:szCs w:val="24"/>
        </w:rPr>
        <w:t xml:space="preserve">установлено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5"/>
        <w:numPr>
          <w:ilvl w:val="0"/>
          <w:numId w:val="0"/>
        </w:numPr>
        <w:keepLines w:val="0"/>
        <w:keepNext w:val="0"/>
        <w:spacing w:before="0" w:after="0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ind w:firstLine="0"/>
        <w:spacing w:line="240" w:lineRule="auto"/>
        <w:widowControl w:val="off"/>
        <w:rPr>
          <w:b/>
          <w:bCs/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</w:rPr>
        <w:t xml:space="preserve">В очном заседании Комиссии принимали участие: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ind w:firstLine="0"/>
        <w:spacing w:line="240" w:lineRule="auto"/>
        <w:widowControl w:val="off"/>
        <w:rPr>
          <w:b/>
          <w:bCs/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</w:rPr>
        <w:t xml:space="preserve">Заместитель председателя Комиссии: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ind w:firstLine="0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Старостина Я.О. – Директор департамента организации конкурсных процедур ПАО «Россети Московский регион»;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0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</w:rPr>
        <w:t xml:space="preserve">Члены Комиссии: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Сахаров А.А. - Заместитель главного инженера – директор департамента информационно-технологических систем и связи ПАО «Россети Московский регион»;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Савосько С.В. - Директор департамента производственной безопасности ПАО «Россети Московский регион»;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Попко О.О. – Заместитель директора департамента корпоративных финансов ПАО «Россети Московский регион»;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Голубев Д.В. – Начальник управления мониторинга рынка ТМЦ и расчетов с поставщиками ПАО «Россети Московский регион»;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Мауль А.В. – Начальник управления нормативного регулирования и сопровождения договорной работы ПАО «Россети Московский регион»;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Светличный Д.А. – Начальник управления строительного и стоимостного надзора ПАО «Россети Московский регион»;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Муравьев Д.П. – Начальник отдела комплектации оборудования ПАО «Россети Московский регион»;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Зубков П.С. – Главный эксперт контрольно-экспертного управления ПАО «Россети Московский регион»;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Кремнёв А.С. – Ведущий эксперт управления общей правовой работы ПАО «</w:t>
      </w:r>
      <w:r>
        <w:rPr>
          <w:sz w:val="24"/>
          <w:szCs w:val="24"/>
        </w:rPr>
        <w:t xml:space="preserve">Россети Московский регион</w:t>
      </w:r>
      <w:r>
        <w:rPr>
          <w:sz w:val="24"/>
          <w:szCs w:val="24"/>
        </w:rPr>
        <w:t xml:space="preserve">»;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b/>
          <w:bCs/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</w:rPr>
        <w:t xml:space="preserve">Секретарь Комиссии (с правом голоса):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Гусев К.В. – Начальник управления организации конкурсных закупок ПАО «Россети Московский регион».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b/>
          <w:bCs/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</w:rPr>
        <w:t xml:space="preserve">СЛУШАЛИ: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Гусева К.В. – Начальника управления организации конкурсных закупок ПАО «Россети Московский регион».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b/>
          <w:bCs/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</w:rPr>
        <w:t xml:space="preserve">Заочное голосование по опросным листам: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b/>
          <w:bCs/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</w:rPr>
        <w:t xml:space="preserve">Член Комиссии: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ind w:firstLine="0"/>
        <w:jc w:val="both"/>
        <w:spacing w:line="240" w:lineRule="auto"/>
        <w:widowControl w:val="off"/>
        <w:rPr>
          <w:sz w:val="20"/>
          <w:szCs w:val="2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Рожков В.В. – Первый заместитель главного инженера по управлению производственными активами </w:t>
        <w:br/>
        <w:t xml:space="preserve">ПАО «Россети Московский регион».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ind w:right="-88"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 заседании приняли </w:t>
      </w:r>
      <w:r>
        <w:rPr>
          <w:b/>
          <w:bCs/>
          <w:sz w:val="24"/>
          <w:szCs w:val="24"/>
        </w:rPr>
        <w:t xml:space="preserve">участие</w:t>
      </w:r>
      <w:r>
        <w:rPr>
          <w:b/>
          <w:bCs/>
          <w:sz w:val="24"/>
          <w:szCs w:val="24"/>
          <w:highlight w:val="none"/>
        </w:rPr>
        <w:t xml:space="preserve"> 12 </w:t>
      </w:r>
      <w:r>
        <w:rPr>
          <w:b/>
          <w:bCs/>
          <w:sz w:val="24"/>
          <w:szCs w:val="24"/>
        </w:rPr>
        <w:t xml:space="preserve">из</w:t>
      </w:r>
      <w:r>
        <w:rPr>
          <w:b/>
          <w:bCs/>
          <w:sz w:val="24"/>
          <w:szCs w:val="24"/>
        </w:rPr>
        <w:t xml:space="preserve"> 19 членов Комиссии.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88"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Кворум имеется.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88" w:firstLine="0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ind w:right="-88" w:firstLine="0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905"/>
        <w:numPr>
          <w:ilvl w:val="0"/>
          <w:numId w:val="3"/>
        </w:numPr>
        <w:ind w:left="0" w:right="-88" w:firstLine="0"/>
        <w:keepLines w:val="0"/>
        <w:keepNext w:val="0"/>
        <w:spacing w:before="0" w:after="0"/>
        <w:tabs>
          <w:tab w:val="left" w:pos="426" w:leader="none"/>
        </w:tabs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КОМИССИИ:</w:t>
      </w:r>
      <w:r>
        <w:rPr>
          <w:rFonts w:ascii="Times New Roman" w:hAnsi="Times New Roman"/>
          <w:bCs w:val="0"/>
          <w:sz w:val="24"/>
          <w:szCs w:val="24"/>
        </w:rPr>
      </w:r>
      <w:r>
        <w:rPr>
          <w:rFonts w:ascii="Times New Roman" w:hAnsi="Times New Roman"/>
          <w:bCs w:val="0"/>
          <w:sz w:val="24"/>
          <w:szCs w:val="24"/>
        </w:rPr>
      </w:r>
    </w:p>
    <w:p>
      <w:pPr>
        <w:pStyle w:val="949"/>
        <w:numPr>
          <w:ilvl w:val="0"/>
          <w:numId w:val="4"/>
        </w:numPr>
        <w:ind w:left="0" w:right="-88" w:firstLine="0"/>
        <w:spacing w:line="240" w:lineRule="auto"/>
        <w:tabs>
          <w:tab w:val="left" w:pos="426" w:leader="none"/>
        </w:tabs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О рассмотрении </w:t>
      </w:r>
      <w:r>
        <w:rPr>
          <w:b/>
          <w:sz w:val="24"/>
          <w:szCs w:val="24"/>
          <w:lang w:eastAsia="ru-RU"/>
        </w:rPr>
        <w:t xml:space="preserve">письма</w:t>
      </w:r>
      <w:r>
        <w:rPr>
          <w:b/>
          <w:b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</w:rPr>
        <w:t xml:space="preserve">РМР//137/ВН-274 от 18.03.2025</w:t>
      </w:r>
      <w:r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 </w:t>
      </w:r>
      <w:r>
        <w:rPr>
          <w:b/>
          <w:sz w:val="24"/>
          <w:szCs w:val="24"/>
        </w:rPr>
        <w:t xml:space="preserve">директора департамента материально-технического снабжения</w:t>
      </w:r>
      <w:r>
        <w:rPr>
          <w:b/>
          <w:sz w:val="24"/>
          <w:szCs w:val="24"/>
          <w:lang w:eastAsia="ru-RU"/>
        </w:rPr>
        <w:t xml:space="preserve"> </w:t>
      </w:r>
      <w:r>
        <w:rPr>
          <w:b/>
          <w:sz w:val="24"/>
          <w:szCs w:val="24"/>
          <w:lang w:eastAsia="ru-RU"/>
        </w:rPr>
        <w:t xml:space="preserve">ПАО «</w:t>
      </w:r>
      <w:r>
        <w:rPr>
          <w:b/>
          <w:sz w:val="24"/>
          <w:szCs w:val="24"/>
          <w:lang w:eastAsia="ru-RU"/>
        </w:rPr>
        <w:t xml:space="preserve">Россети</w:t>
      </w:r>
      <w:r>
        <w:rPr>
          <w:b/>
          <w:sz w:val="24"/>
          <w:szCs w:val="24"/>
          <w:lang w:eastAsia="ru-RU"/>
        </w:rPr>
        <w:t xml:space="preserve"> Московский регион» </w:t>
        <w:br/>
      </w:r>
      <w:r>
        <w:rPr>
          <w:b/>
          <w:sz w:val="24"/>
          <w:szCs w:val="24"/>
          <w:lang w:eastAsia="ru-RU"/>
        </w:rPr>
        <w:t xml:space="preserve">«</w:t>
      </w:r>
      <w:r>
        <w:rPr>
          <w:b/>
          <w:sz w:val="24"/>
          <w:szCs w:val="24"/>
        </w:rPr>
        <w:t xml:space="preserve">Об отмене закупки ЗНТ №062-0008694</w:t>
      </w:r>
      <w:r>
        <w:rPr>
          <w:b/>
          <w:sz w:val="24"/>
          <w:szCs w:val="24"/>
        </w:rPr>
        <w:t xml:space="preserve">»</w:t>
      </w:r>
      <w:r>
        <w:rPr>
          <w:b/>
          <w:sz w:val="24"/>
          <w:szCs w:val="24"/>
          <w:lang w:eastAsia="ru-RU"/>
        </w:rPr>
        <w:t xml:space="preserve">;</w:t>
      </w:r>
      <w:r>
        <w:rPr>
          <w:b/>
          <w:sz w:val="24"/>
          <w:szCs w:val="24"/>
          <w:lang w:eastAsia="ru-RU"/>
        </w:rPr>
      </w:r>
      <w:r>
        <w:rPr>
          <w:b/>
          <w:sz w:val="24"/>
          <w:szCs w:val="24"/>
          <w:lang w:eastAsia="ru-RU"/>
        </w:rPr>
      </w:r>
    </w:p>
    <w:p>
      <w:pPr>
        <w:pStyle w:val="905"/>
        <w:numPr>
          <w:ilvl w:val="0"/>
          <w:numId w:val="4"/>
        </w:numPr>
        <w:ind w:left="0" w:right="-88" w:firstLine="0"/>
        <w:keepLines w:val="0"/>
        <w:keepNext w:val="0"/>
        <w:spacing w:before="0" w:after="0"/>
        <w:tabs>
          <w:tab w:val="left" w:pos="426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  <w:t xml:space="preserve">Об отмене </w:t>
      </w:r>
      <w:r>
        <w:rPr>
          <w:rFonts w:ascii="Times New Roman" w:hAnsi="Times New Roman"/>
          <w:sz w:val="24"/>
          <w:szCs w:val="24"/>
        </w:rPr>
        <w:t xml:space="preserve">закупки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05"/>
        <w:numPr>
          <w:ilvl w:val="0"/>
          <w:numId w:val="0"/>
        </w:numPr>
        <w:ind w:right="-88"/>
        <w:keepLines w:val="0"/>
        <w:keepNext w:val="0"/>
        <w:spacing w:before="0" w:after="0"/>
        <w:tabs>
          <w:tab w:val="left" w:pos="426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05"/>
        <w:numPr>
          <w:ilvl w:val="0"/>
          <w:numId w:val="3"/>
        </w:numPr>
        <w:ind w:left="567" w:right="-88" w:hanging="567"/>
        <w:keepLines w:val="0"/>
        <w:keepNext w:val="0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РЕШИЛИ: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0"/>
        </w:numPr>
        <w:ind w:right="-88" w:firstLine="0"/>
        <w:spacing w:line="240" w:lineRule="auto"/>
        <w:tabs>
          <w:tab w:val="clear" w:pos="567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1.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Рассмотреть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письмо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РМР//137/ВН-274 от 18.03.2025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от директора департамента административно-хозяйственного обеспечения ПАО «Россети Московский регион» </w:t>
        <w:br/>
        <w:t xml:space="preserve">«Об отмене закупки ЗНТ №062-000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8694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»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.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ind w:right="-88" w:firstLine="0"/>
        <w:spacing w:line="240" w:lineRule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ind w:right="-88" w:firstLine="0"/>
        <w:spacing w:line="240" w:lineRule="auto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2.1. </w:t>
      </w:r>
      <w:r>
        <w:rPr>
          <w:sz w:val="24"/>
          <w:szCs w:val="24"/>
        </w:rPr>
        <w:t xml:space="preserve">В </w:t>
      </w:r>
      <w:r>
        <w:rPr>
          <w:iCs/>
          <w:sz w:val="24"/>
          <w:szCs w:val="24"/>
        </w:rPr>
        <w:t xml:space="preserve">соответствии с п.</w:t>
      </w:r>
      <w:r>
        <w:rPr>
          <w:iCs/>
          <w:sz w:val="24"/>
          <w:szCs w:val="24"/>
        </w:rPr>
        <w:t xml:space="preserve">1</w:t>
      </w:r>
      <w:r>
        <w:rPr>
          <w:iCs/>
          <w:sz w:val="24"/>
          <w:szCs w:val="24"/>
        </w:rPr>
        <w:t xml:space="preserve">7</w:t>
      </w:r>
      <w:r>
        <w:rPr>
          <w:iCs/>
          <w:sz w:val="24"/>
          <w:szCs w:val="24"/>
        </w:rPr>
        <w:t xml:space="preserve"> Извещения о проведении </w:t>
      </w:r>
      <w:r>
        <w:rPr>
          <w:iCs/>
          <w:sz w:val="24"/>
          <w:szCs w:val="24"/>
        </w:rPr>
        <w:t xml:space="preserve">запроса предложений</w:t>
      </w:r>
      <w:r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отказаться </w:t>
        <w:br/>
        <w:t xml:space="preserve">от проведения </w:t>
      </w:r>
      <w:r>
        <w:rPr>
          <w:iCs/>
          <w:sz w:val="24"/>
          <w:szCs w:val="24"/>
        </w:rPr>
        <w:t xml:space="preserve">запроса предложений</w:t>
      </w:r>
      <w:r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в электронной форме по определению поставщика</w:t>
        <w:br/>
        <w:t xml:space="preserve">на поставку </w:t>
      </w:r>
      <w:r>
        <w:rPr>
          <w:iCs/>
          <w:sz w:val="24"/>
          <w:szCs w:val="24"/>
        </w:rPr>
        <w:t xml:space="preserve">дизельной гидравлической кабельной лебёдки на грузовом шасси (прицепе)</w:t>
      </w:r>
      <w:bookmarkStart w:id="0" w:name="_GoBack"/>
      <w:r/>
      <w:bookmarkEnd w:id="0"/>
      <w:r>
        <w:rPr>
          <w:iCs/>
          <w:sz w:val="24"/>
          <w:szCs w:val="24"/>
        </w:rPr>
        <w:t xml:space="preserve"> </w:t>
        <w:br/>
        <w:t xml:space="preserve">для нужд ПАО «Россети Московский регион»</w:t>
      </w:r>
      <w:r>
        <w:rPr>
          <w:i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88"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-88" w:firstLine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2.2.</w:t>
      </w:r>
      <w:r>
        <w:rPr>
          <w:sz w:val="24"/>
          <w:szCs w:val="24"/>
        </w:rPr>
        <w:t xml:space="preserve"> Организатору </w:t>
      </w:r>
      <w:r>
        <w:rPr>
          <w:iCs/>
          <w:sz w:val="24"/>
          <w:szCs w:val="24"/>
        </w:rPr>
        <w:t xml:space="preserve">закупки</w:t>
      </w:r>
      <w:r>
        <w:rPr>
          <w:sz w:val="24"/>
          <w:szCs w:val="24"/>
        </w:rPr>
        <w:t xml:space="preserve"> - Департаменту организации конкурсных процедур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ПАО «Россети Московский регион»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вернуть техническое задание Инициатору закупки.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54" w:firstLine="0"/>
        <w:keepLines/>
        <w:spacing w:line="240" w:lineRule="auto"/>
        <w:tabs>
          <w:tab w:val="left" w:pos="142" w:leader="none"/>
          <w:tab w:val="left" w:pos="709" w:leader="none"/>
          <w:tab w:val="left" w:pos="851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3" w:firstLine="0"/>
        <w:keepLines/>
        <w:spacing w:line="240" w:lineRule="auto"/>
        <w:tabs>
          <w:tab w:val="left" w:pos="142" w:leader="none"/>
          <w:tab w:val="left" w:pos="709" w:leader="none"/>
          <w:tab w:val="left" w:pos="851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5"/>
        <w:numPr>
          <w:ilvl w:val="0"/>
          <w:numId w:val="3"/>
        </w:numPr>
        <w:ind w:left="567" w:hanging="567"/>
        <w:keepLines w:val="0"/>
        <w:keepNext w:val="0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ГОЛОСОВАНИЯ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(в соответствии с опросными листами)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«За</w:t>
      </w:r>
      <w:r>
        <w:rPr>
          <w:sz w:val="24"/>
          <w:szCs w:val="24"/>
        </w:rPr>
        <w:t xml:space="preserve">» </w:t>
      </w:r>
      <w:r>
        <w:rPr>
          <w:sz w:val="24"/>
          <w:szCs w:val="24"/>
          <w:highlight w:val="none"/>
        </w:rPr>
        <w:t xml:space="preserve">- </w:t>
      </w:r>
      <w:bookmarkStart w:id="1" w:name="КоличествоЧленов"/>
      <w:r>
        <w:rPr>
          <w:highlight w:val="none"/>
        </w:rPr>
      </w:r>
      <w:bookmarkEnd w:id="1"/>
      <w:r>
        <w:rPr>
          <w:sz w:val="24"/>
          <w:szCs w:val="24"/>
          <w:highlight w:val="none"/>
        </w:rPr>
        <w:t xml:space="preserve">1</w:t>
      </w:r>
      <w:r>
        <w:rPr>
          <w:sz w:val="24"/>
          <w:szCs w:val="24"/>
          <w:highlight w:val="none"/>
        </w:rPr>
        <w:t xml:space="preserve">2</w:t>
      </w:r>
      <w:r>
        <w:rPr>
          <w:sz w:val="24"/>
          <w:szCs w:val="24"/>
          <w:highlight w:val="none"/>
        </w:rPr>
        <w:t xml:space="preserve"> (</w:t>
      </w:r>
      <w:r>
        <w:rPr>
          <w:sz w:val="24"/>
          <w:szCs w:val="24"/>
          <w:highlight w:val="none"/>
        </w:rPr>
        <w:t xml:space="preserve">две</w:t>
      </w:r>
      <w:r>
        <w:rPr>
          <w:sz w:val="24"/>
          <w:szCs w:val="24"/>
          <w:highlight w:val="none"/>
        </w:rPr>
        <w:t xml:space="preserve">надцать</w:t>
      </w:r>
      <w:r>
        <w:rPr>
          <w:sz w:val="24"/>
          <w:szCs w:val="24"/>
          <w:highlight w:val="none"/>
        </w:rPr>
        <w:t xml:space="preserve">) </w:t>
      </w:r>
      <w:r>
        <w:rPr>
          <w:sz w:val="24"/>
          <w:szCs w:val="24"/>
          <w:highlight w:val="none"/>
        </w:rPr>
        <w:t xml:space="preserve">членов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К</w:t>
      </w:r>
      <w:r>
        <w:rPr>
          <w:sz w:val="24"/>
          <w:szCs w:val="24"/>
          <w:highlight w:val="none"/>
        </w:rPr>
        <w:t xml:space="preserve">омиссии.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«Против» - 0 (ноль) членов </w:t>
      </w:r>
      <w:r>
        <w:rPr>
          <w:sz w:val="24"/>
          <w:szCs w:val="24"/>
          <w:highlight w:val="none"/>
        </w:rPr>
        <w:t xml:space="preserve">К</w:t>
      </w:r>
      <w:r>
        <w:rPr>
          <w:sz w:val="24"/>
          <w:szCs w:val="24"/>
          <w:highlight w:val="none"/>
        </w:rPr>
        <w:t xml:space="preserve">омиссии.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«Воздержалось» - 0 (ноль) членов </w:t>
      </w:r>
      <w:r>
        <w:rPr>
          <w:sz w:val="24"/>
          <w:szCs w:val="24"/>
          <w:highlight w:val="none"/>
        </w:rPr>
        <w:t xml:space="preserve">К</w:t>
      </w:r>
      <w:r>
        <w:rPr>
          <w:sz w:val="24"/>
          <w:szCs w:val="24"/>
          <w:highlight w:val="none"/>
        </w:rPr>
        <w:t xml:space="preserve">омиссии.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spacing w:line="240" w:lineRule="auto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Решение принято единогласно.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ind w:right="54" w:firstLine="0"/>
        <w:keepLines/>
        <w:spacing w:line="240" w:lineRule="auto"/>
        <w:tabs>
          <w:tab w:val="left" w:pos="142" w:leader="none"/>
          <w:tab w:val="left" w:pos="709" w:leader="none"/>
          <w:tab w:val="left" w:pos="851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54" w:firstLine="0"/>
        <w:keepLines/>
        <w:spacing w:line="240" w:lineRule="auto"/>
        <w:tabs>
          <w:tab w:val="left" w:pos="142" w:leader="none"/>
          <w:tab w:val="left" w:pos="709" w:leader="none"/>
          <w:tab w:val="left" w:pos="851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Приложение: 1. </w:t>
      </w:r>
      <w:r>
        <w:rPr>
          <w:sz w:val="24"/>
          <w:szCs w:val="24"/>
        </w:rPr>
        <w:t xml:space="preserve">Письмо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РМР//137/ВН-274 от 18.03.2025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5"/>
        <w:numPr>
          <w:ilvl w:val="0"/>
          <w:numId w:val="3"/>
        </w:numPr>
        <w:ind w:left="567" w:hanging="567"/>
        <w:keepLines w:val="0"/>
        <w:keepNext w:val="0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pPr w:horzAnchor="margin" w:tblpX="108" w:vertAnchor="text" w:tblpY="278" w:leftFromText="180" w:topFromText="0" w:rightFromText="180" w:bottomFromText="0"/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693"/>
        <w:gridCol w:w="2126"/>
        <w:gridCol w:w="2835"/>
      </w:tblGrid>
      <w:tr>
        <w:tblPrEx/>
        <w:trPr>
          <w:trHeight w:val="698"/>
        </w:trPr>
        <w:tc>
          <w:tcPr>
            <w:tcW w:w="2235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председателя  Комиссии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Старостина Я.О.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line="240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департамента организации конкурсных процедур ПАО «</w:t>
            </w:r>
            <w:r>
              <w:rPr>
                <w:sz w:val="24"/>
                <w:szCs w:val="24"/>
              </w:rPr>
              <w:t xml:space="preserve">Россети</w:t>
            </w:r>
            <w:r>
              <w:rPr>
                <w:sz w:val="24"/>
                <w:szCs w:val="24"/>
              </w:rPr>
              <w:t xml:space="preserve"> Московский регион»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99"/>
        </w:trPr>
        <w:tc>
          <w:tcPr>
            <w:tcW w:w="2235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Комиссии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bot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</w:rPr>
              <w:t xml:space="preserve">с правом </w:t>
            </w:r>
            <w:r>
              <w:rPr>
                <w:sz w:val="24"/>
                <w:szCs w:val="24"/>
              </w:rPr>
              <w:t xml:space="preserve">голоса)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ind w:firstLine="0"/>
              <w:jc w:val="bot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Гусев К.В.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right="-91" w:firstLine="0"/>
              <w:jc w:val="both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организации конкурсных закупок ПАО «Россети Московский регион»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896"/>
        <w:ind w:left="0" w:right="0" w:firstLine="0"/>
        <w:spacing w:line="240" w:lineRule="auto"/>
        <w:widowControl w:val="off"/>
        <w:rPr>
          <w:sz w:val="20"/>
        </w:rPr>
      </w:pPr>
      <w:r>
        <w:rPr>
          <w:sz w:val="20"/>
        </w:rPr>
        <w:t xml:space="preserve">Исп.Федотычева В. С.</w:t>
      </w:r>
      <w:r>
        <w:rPr>
          <w:sz w:val="20"/>
        </w:rPr>
      </w:r>
      <w:r>
        <w:rPr>
          <w:sz w:val="20"/>
        </w:rPr>
      </w:r>
    </w:p>
    <w:p>
      <w:pPr>
        <w:pStyle w:val="951"/>
        <w:ind w:left="0" w:right="0" w:firstLine="0"/>
        <w:jc w:val="both"/>
        <w:spacing w:line="240" w:lineRule="auto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+7 (495) 662-40-70 (доб. 47-16)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0"/>
        <w:spacing w:line="240" w:lineRule="auto"/>
        <w:rPr>
          <w:bCs/>
          <w:sz w:val="20"/>
        </w:rPr>
      </w:pPr>
      <w:r>
        <w:rPr>
          <w:bCs/>
          <w:sz w:val="20"/>
        </w:rPr>
      </w:r>
      <w:r>
        <w:rPr>
          <w:bCs/>
          <w:sz w:val="20"/>
        </w:rPr>
      </w:r>
      <w:r>
        <w:rPr>
          <w:bCs/>
          <w:sz w:val="20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709" w:right="991" w:bottom="709" w:left="1080" w:header="708" w:footer="321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Style w:val="905"/>
      </w:pPr>
      <w:r>
        <w:separator/>
      </w:r>
      <w:r/>
    </w:p>
  </w:endnote>
  <w:endnote w:type="continuationSeparator" w:id="0">
    <w:p>
      <w:pPr>
        <w:pStyle w:val="905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409020205020404"/>
  </w:font>
  <w:font w:name="Verdana">
    <w:panose1 w:val="020B0606030504020204"/>
  </w:font>
  <w:font w:name="Tahoma">
    <w:panose1 w:val="020B0606040504020204"/>
  </w:font>
  <w:font w:name="Times New Roman">
    <w:panose1 w:val="02020603050405020304"/>
  </w:font>
  <w:font w:name="Arial Unicode MS">
    <w:panose1 w:val="020B0506020203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rPr>
        <w:sz w:val="16"/>
      </w:rPr>
      <w:framePr w:wrap="around" w:vAnchor="text" w:hAnchor="page" w:x="10891" w:y="45"/>
    </w:pPr>
    <w:r>
      <w:rPr>
        <w:sz w:val="16"/>
      </w:rPr>
      <w:fldChar w:fldCharType="begin"/>
    </w:r>
    <w:r>
      <w:rPr>
        <w:sz w:val="16"/>
      </w:rPr>
      <w:instrText xml:space="preserve">PAGE  </w:instrText>
    </w:r>
    <w:r>
      <w:rPr>
        <w:sz w:val="16"/>
      </w:rPr>
      <w:fldChar w:fldCharType="separate"/>
    </w:r>
    <w:r>
      <w:rPr>
        <w:sz w:val="16"/>
      </w:rPr>
      <w:t xml:space="preserve">2</w:t>
    </w:r>
    <w:r>
      <w:rPr>
        <w:sz w:val="16"/>
      </w:rPr>
      <w:fldChar w:fldCharType="end"/>
    </w:r>
    <w:r>
      <w:rPr>
        <w:sz w:val="16"/>
      </w:rPr>
    </w:r>
    <w:r>
      <w:rPr>
        <w:sz w:val="16"/>
      </w:rPr>
    </w:r>
  </w:p>
  <w:p>
    <w:pPr>
      <w:pStyle w:val="905"/>
      <w:numPr>
        <w:ilvl w:val="0"/>
        <w:numId w:val="0"/>
      </w:numPr>
      <w:ind w:right="54"/>
      <w:jc w:val="center"/>
      <w:keepLines w:val="0"/>
      <w:keepNext w:val="0"/>
      <w:spacing w:before="0" w:after="0"/>
      <w:rPr>
        <w:rFonts w:ascii="Times New Roman" w:hAnsi="Times New Roman"/>
        <w:sz w:val="22"/>
        <w:szCs w:val="22"/>
        <w:highlight w:val="none"/>
      </w:rPr>
    </w:pPr>
    <w:r>
      <w:rPr>
        <w:rFonts w:ascii="Times New Roman" w:hAnsi="Times New Roman"/>
        <w:sz w:val="16"/>
        <w:szCs w:val="16"/>
      </w:rPr>
      <w:t xml:space="preserve">Протокол №</w:t>
    </w:r>
    <w:r>
      <w:rPr>
        <w:rFonts w:ascii="Times New Roman" w:hAnsi="Times New Roman"/>
        <w:sz w:val="16"/>
        <w:szCs w:val="16"/>
        <w:highlight w:val="none"/>
      </w:rPr>
      <w:t xml:space="preserve">РМР</w:t>
    </w:r>
    <w:r>
      <w:rPr>
        <w:rFonts w:ascii="Times New Roman" w:hAnsi="Times New Roman"/>
        <w:sz w:val="16"/>
        <w:szCs w:val="16"/>
        <w:highlight w:val="none"/>
      </w:rPr>
      <w:t xml:space="preserve">/</w:t>
    </w:r>
    <w:r>
      <w:rPr>
        <w:rFonts w:ascii="Times New Roman" w:hAnsi="Times New Roman"/>
        <w:sz w:val="16"/>
        <w:szCs w:val="16"/>
        <w:highlight w:val="none"/>
      </w:rPr>
      <w:t xml:space="preserve">907</w:t>
    </w:r>
    <w:r>
      <w:rPr>
        <w:rFonts w:ascii="Times New Roman" w:hAnsi="Times New Roman"/>
        <w:sz w:val="16"/>
        <w:szCs w:val="16"/>
        <w:highlight w:val="none"/>
      </w:rPr>
    </w:r>
    <w:r>
      <w:rPr>
        <w:rFonts w:ascii="Times New Roman" w:hAnsi="Times New Roman"/>
        <w:sz w:val="16"/>
        <w:szCs w:val="16"/>
        <w:highlight w:val="none"/>
      </w:rPr>
    </w:r>
  </w:p>
  <w:p>
    <w:pPr>
      <w:ind w:right="54" w:firstLine="0"/>
      <w:jc w:val="center"/>
      <w:spacing w:line="240" w:lineRule="auto"/>
      <w:rPr>
        <w:b/>
        <w:sz w:val="22"/>
        <w:szCs w:val="22"/>
      </w:rPr>
    </w:pPr>
    <w:r>
      <w:rPr>
        <w:b/>
        <w:bCs/>
        <w:sz w:val="16"/>
        <w:szCs w:val="16"/>
      </w:rPr>
    </w:r>
    <w:r>
      <w:rPr>
        <w:b/>
        <w:bCs/>
        <w:sz w:val="16"/>
        <w:szCs w:val="16"/>
      </w:rPr>
      <w:t xml:space="preserve">очно-заочного</w:t>
    </w:r>
    <w:r>
      <w:rPr>
        <w:b/>
        <w:bCs/>
        <w:sz w:val="16"/>
        <w:szCs w:val="16"/>
      </w:rPr>
      <w:t xml:space="preserve"> заседания</w:t>
    </w:r>
    <w:r>
      <w:rPr>
        <w:b/>
        <w:sz w:val="16"/>
        <w:szCs w:val="16"/>
      </w:rPr>
      <w:t xml:space="preserve"> Постоянно действующей конкурсной комиссии </w:t>
    </w:r>
    <w:r>
      <w:rPr>
        <w:b/>
        <w:sz w:val="16"/>
        <w:szCs w:val="16"/>
      </w:rPr>
      <w:t xml:space="preserve">(далее - Комиссия)</w:t>
    </w:r>
    <w:r>
      <w:rPr>
        <w:b/>
        <w:sz w:val="16"/>
        <w:szCs w:val="16"/>
      </w:rPr>
    </w:r>
    <w:r>
      <w:rPr>
        <w:b/>
        <w:sz w:val="16"/>
        <w:szCs w:val="16"/>
      </w:rPr>
    </w:r>
  </w:p>
  <w:p>
    <w:pPr>
      <w:ind w:right="54" w:firstLine="0"/>
      <w:jc w:val="center"/>
      <w:spacing w:line="240" w:lineRule="auto"/>
      <w:rPr>
        <w:b/>
        <w:bCs/>
        <w:sz w:val="22"/>
        <w:szCs w:val="22"/>
        <w14:ligatures w14:val="none"/>
      </w:rPr>
    </w:pPr>
    <w:r>
      <w:rPr>
        <w:b/>
        <w:bCs/>
        <w:sz w:val="16"/>
        <w:szCs w:val="16"/>
      </w:rPr>
      <w:t xml:space="preserve"> </w:t>
    </w:r>
    <w:r>
      <w:rPr>
        <w:b/>
        <w:bCs/>
        <w:sz w:val="16"/>
        <w:szCs w:val="16"/>
      </w:rPr>
      <w:t xml:space="preserve">об отмене </w:t>
    </w:r>
    <w:r>
      <w:rPr>
        <w:b/>
        <w:bCs/>
        <w:sz w:val="16"/>
        <w:szCs w:val="16"/>
      </w:rPr>
      <w:t xml:space="preserve">закупки</w:t>
    </w:r>
    <w:r>
      <w:rPr>
        <w:b/>
        <w:bCs/>
        <w:sz w:val="16"/>
        <w:szCs w:val="16"/>
        <w14:ligatures w14:val="none"/>
      </w:rPr>
    </w:r>
    <w:r>
      <w:rPr>
        <w:b/>
        <w:bCs/>
        <w:sz w:val="16"/>
        <w:szCs w:val="16"/>
        <w14:ligatures w14:val="none"/>
      </w:rPr>
    </w:r>
  </w:p>
  <w:p>
    <w:pPr>
      <w:pStyle w:val="905"/>
      <w:numPr>
        <w:ilvl w:val="0"/>
        <w:numId w:val="0"/>
      </w:numPr>
      <w:ind w:right="54"/>
      <w:jc w:val="center"/>
      <w:keepLines w:val="0"/>
      <w:keepNext w:val="0"/>
      <w:spacing w:before="0" w:after="0"/>
      <w:rPr>
        <w:rFonts w:ascii="Times New Roman" w:hAnsi="Times New Roman"/>
        <w:b w:val="0"/>
        <w:bCs w:val="0"/>
        <w:sz w:val="16"/>
        <w:szCs w:val="16"/>
        <w:highlight w:val="yellow"/>
      </w:rPr>
    </w:pPr>
    <w:r>
      <w:rPr>
        <w:b/>
        <w:bCs/>
        <w:sz w:val="16"/>
        <w:szCs w:val="16"/>
      </w:rPr>
      <w:t xml:space="preserve">(</w:t>
    </w:r>
    <w:r>
      <w:rPr>
        <w:b/>
        <w:bCs/>
        <w:sz w:val="16"/>
        <w:szCs w:val="16"/>
      </w:rPr>
      <w:t xml:space="preserve">ЭТП РАД №</w:t>
    </w:r>
    <w:r>
      <w:rPr>
        <w:b/>
        <w:bCs/>
        <w:sz w:val="16"/>
        <w:szCs w:val="16"/>
      </w:rPr>
      <w:t xml:space="preserve"> </w:t>
    </w:r>
    <w:r>
      <w:rPr>
        <w:b/>
        <w:bCs/>
        <w:sz w:val="16"/>
        <w:szCs w:val="16"/>
      </w:rPr>
      <w:t xml:space="preserve">rssmr25276DP</w:t>
    </w:r>
    <w:r>
      <w:rPr>
        <w:b/>
        <w:bCs/>
        <w:sz w:val="16"/>
        <w:szCs w:val="16"/>
      </w:rPr>
      <w:t xml:space="preserve">, ЕИС № </w:t>
    </w:r>
    <w:r>
      <w:rPr>
        <w:b/>
        <w:bCs/>
        <w:sz w:val="16"/>
        <w:szCs w:val="16"/>
      </w:rPr>
      <w:t xml:space="preserve">32514572700</w:t>
    </w:r>
    <w:r>
      <w:rPr>
        <w:b/>
        <w:bCs/>
        <w:sz w:val="16"/>
        <w:szCs w:val="16"/>
      </w:rPr>
      <w:t xml:space="preserve">)</w:t>
    </w:r>
    <w:r>
      <w:rPr>
        <w:b/>
        <w:bCs/>
        <w:sz w:val="16"/>
        <w:szCs w:val="16"/>
        <w14:ligatures w14:val="none"/>
      </w:rPr>
    </w:r>
    <w:r>
      <w:rPr>
        <w:rFonts w:ascii="Times New Roman" w:hAnsi="Times New Roman"/>
        <w:b w:val="0"/>
        <w:bCs w:val="0"/>
        <w:sz w:val="16"/>
        <w:szCs w:val="16"/>
        <w:highlight w:val="yellow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rPr>
        <w:rStyle w:val="908"/>
      </w:rPr>
      <w:framePr w:wrap="around" w:vAnchor="text" w:hAnchor="margin" w:xAlign="right" w:y="1"/>
    </w:pPr>
    <w:r>
      <w:rPr>
        <w:rStyle w:val="908"/>
      </w:rPr>
      <w:fldChar w:fldCharType="begin"/>
    </w:r>
    <w:r>
      <w:rPr>
        <w:rStyle w:val="908"/>
      </w:rPr>
      <w:instrText xml:space="preserve">PAGE  </w:instrText>
    </w:r>
    <w:r>
      <w:rPr>
        <w:rStyle w:val="908"/>
      </w:rPr>
      <w:fldChar w:fldCharType="end"/>
    </w:r>
    <w:r>
      <w:rPr>
        <w:rStyle w:val="908"/>
      </w:rPr>
    </w:r>
    <w:r>
      <w:rPr>
        <w:rStyle w:val="908"/>
      </w:rPr>
    </w:r>
  </w:p>
  <w:p>
    <w:pPr>
      <w:pStyle w:val="90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Style w:val="905"/>
      </w:pPr>
      <w:r>
        <w:separator/>
      </w:r>
      <w:r/>
    </w:p>
  </w:footnote>
  <w:footnote w:type="continuationSeparator" w:id="0">
    <w:p>
      <w:pPr>
        <w:pStyle w:val="905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pStyle w:val="90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pStyle w:val="89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pStyle w:val="900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pStyle w:val="92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901"/>
    <w:link w:val="897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901"/>
    <w:link w:val="898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901"/>
    <w:link w:val="899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901"/>
    <w:link w:val="900"/>
    <w:uiPriority w:val="9"/>
    <w:rPr>
      <w:rFonts w:ascii="Arial" w:hAnsi="Arial" w:eastAsia="Arial" w:cs="Arial"/>
      <w:b/>
      <w:bCs/>
      <w:sz w:val="26"/>
      <w:szCs w:val="26"/>
    </w:rPr>
  </w:style>
  <w:style w:type="paragraph" w:styleId="732">
    <w:name w:val="Heading 5"/>
    <w:basedOn w:val="896"/>
    <w:next w:val="896"/>
    <w:link w:val="7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3">
    <w:name w:val="Heading 5 Char"/>
    <w:basedOn w:val="901"/>
    <w:link w:val="732"/>
    <w:uiPriority w:val="9"/>
    <w:rPr>
      <w:rFonts w:ascii="Arial" w:hAnsi="Arial" w:eastAsia="Arial" w:cs="Arial"/>
      <w:b/>
      <w:bCs/>
      <w:sz w:val="24"/>
      <w:szCs w:val="24"/>
    </w:rPr>
  </w:style>
  <w:style w:type="paragraph" w:styleId="734">
    <w:name w:val="Heading 6"/>
    <w:basedOn w:val="896"/>
    <w:next w:val="896"/>
    <w:link w:val="7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5">
    <w:name w:val="Heading 6 Char"/>
    <w:basedOn w:val="901"/>
    <w:link w:val="734"/>
    <w:uiPriority w:val="9"/>
    <w:rPr>
      <w:rFonts w:ascii="Arial" w:hAnsi="Arial" w:eastAsia="Arial" w:cs="Arial"/>
      <w:b/>
      <w:bCs/>
      <w:sz w:val="22"/>
      <w:szCs w:val="22"/>
    </w:rPr>
  </w:style>
  <w:style w:type="paragraph" w:styleId="736">
    <w:name w:val="Heading 7"/>
    <w:basedOn w:val="896"/>
    <w:next w:val="896"/>
    <w:link w:val="7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7">
    <w:name w:val="Heading 7 Char"/>
    <w:basedOn w:val="901"/>
    <w:link w:val="7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8">
    <w:name w:val="Heading 8"/>
    <w:basedOn w:val="896"/>
    <w:next w:val="896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9">
    <w:name w:val="Heading 8 Char"/>
    <w:basedOn w:val="901"/>
    <w:link w:val="738"/>
    <w:uiPriority w:val="9"/>
    <w:rPr>
      <w:rFonts w:ascii="Arial" w:hAnsi="Arial" w:eastAsia="Arial" w:cs="Arial"/>
      <w:i/>
      <w:iCs/>
      <w:sz w:val="22"/>
      <w:szCs w:val="22"/>
    </w:rPr>
  </w:style>
  <w:style w:type="paragraph" w:styleId="740">
    <w:name w:val="Heading 9"/>
    <w:basedOn w:val="896"/>
    <w:next w:val="896"/>
    <w:link w:val="7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1">
    <w:name w:val="Heading 9 Char"/>
    <w:basedOn w:val="901"/>
    <w:link w:val="740"/>
    <w:uiPriority w:val="9"/>
    <w:rPr>
      <w:rFonts w:ascii="Arial" w:hAnsi="Arial" w:eastAsia="Arial" w:cs="Arial"/>
      <w:i/>
      <w:iCs/>
      <w:sz w:val="21"/>
      <w:szCs w:val="21"/>
    </w:rPr>
  </w:style>
  <w:style w:type="paragraph" w:styleId="742">
    <w:name w:val="No Spacing"/>
    <w:uiPriority w:val="1"/>
    <w:qFormat/>
    <w:pPr>
      <w:spacing w:before="0" w:after="0" w:line="240" w:lineRule="auto"/>
    </w:pPr>
  </w:style>
  <w:style w:type="character" w:styleId="743">
    <w:name w:val="Title Char"/>
    <w:basedOn w:val="901"/>
    <w:link w:val="944"/>
    <w:uiPriority w:val="10"/>
    <w:rPr>
      <w:sz w:val="48"/>
      <w:szCs w:val="48"/>
    </w:rPr>
  </w:style>
  <w:style w:type="paragraph" w:styleId="744">
    <w:name w:val="Subtitle"/>
    <w:basedOn w:val="896"/>
    <w:next w:val="896"/>
    <w:link w:val="745"/>
    <w:uiPriority w:val="11"/>
    <w:qFormat/>
    <w:pPr>
      <w:spacing w:before="200" w:after="200"/>
    </w:pPr>
    <w:rPr>
      <w:sz w:val="24"/>
      <w:szCs w:val="24"/>
    </w:rPr>
  </w:style>
  <w:style w:type="character" w:styleId="745">
    <w:name w:val="Subtitle Char"/>
    <w:basedOn w:val="901"/>
    <w:link w:val="744"/>
    <w:uiPriority w:val="11"/>
    <w:rPr>
      <w:sz w:val="24"/>
      <w:szCs w:val="24"/>
    </w:rPr>
  </w:style>
  <w:style w:type="paragraph" w:styleId="746">
    <w:name w:val="Quote"/>
    <w:basedOn w:val="896"/>
    <w:next w:val="896"/>
    <w:link w:val="747"/>
    <w:uiPriority w:val="29"/>
    <w:qFormat/>
    <w:pPr>
      <w:ind w:left="720" w:right="720"/>
    </w:pPr>
    <w:rPr>
      <w:i/>
    </w:rPr>
  </w:style>
  <w:style w:type="character" w:styleId="747">
    <w:name w:val="Quote Char"/>
    <w:link w:val="746"/>
    <w:uiPriority w:val="29"/>
    <w:rPr>
      <w:i/>
    </w:rPr>
  </w:style>
  <w:style w:type="paragraph" w:styleId="748">
    <w:name w:val="Intense Quote"/>
    <w:basedOn w:val="896"/>
    <w:next w:val="896"/>
    <w:link w:val="7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9">
    <w:name w:val="Intense Quote Char"/>
    <w:link w:val="748"/>
    <w:uiPriority w:val="30"/>
    <w:rPr>
      <w:i/>
    </w:rPr>
  </w:style>
  <w:style w:type="character" w:styleId="750">
    <w:name w:val="Header Char"/>
    <w:basedOn w:val="901"/>
    <w:link w:val="909"/>
    <w:uiPriority w:val="99"/>
  </w:style>
  <w:style w:type="character" w:styleId="751">
    <w:name w:val="Footer Char"/>
    <w:basedOn w:val="901"/>
    <w:link w:val="907"/>
    <w:uiPriority w:val="99"/>
  </w:style>
  <w:style w:type="paragraph" w:styleId="752">
    <w:name w:val="Caption"/>
    <w:basedOn w:val="896"/>
    <w:next w:val="896"/>
    <w:link w:val="7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3">
    <w:name w:val="Caption Char"/>
    <w:basedOn w:val="901"/>
    <w:link w:val="752"/>
    <w:uiPriority w:val="35"/>
    <w:rPr>
      <w:b/>
      <w:bCs/>
      <w:color w:val="4f81bd" w:themeColor="accent1"/>
      <w:sz w:val="18"/>
      <w:szCs w:val="18"/>
    </w:rPr>
  </w:style>
  <w:style w:type="table" w:styleId="754">
    <w:name w:val="Table Grid Light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5">
    <w:name w:val="Plain Table 1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6">
    <w:name w:val="Plain Table 2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8">
    <w:name w:val="Plain Table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Plain Table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0">
    <w:name w:val="Grid Table 1 Light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4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2">
    <w:name w:val="Grid Table 4 - Accent 1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3">
    <w:name w:val="Grid Table 4 - Accent 2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Grid Table 4 - Accent 3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5">
    <w:name w:val="Grid Table 4 - Accent 4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Grid Table 4 - Accent 5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7">
    <w:name w:val="Grid Table 4 - Accent 6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8">
    <w:name w:val="Grid Table 5 Dark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2">
    <w:name w:val="Grid Table 5 Dark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3">
    <w:name w:val="Grid Table 5 Dark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4">
    <w:name w:val="Grid Table 5 Dark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5">
    <w:name w:val="Grid Table 6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6">
    <w:name w:val="Grid Table 6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7">
    <w:name w:val="Grid Table 6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8">
    <w:name w:val="Grid Table 6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9">
    <w:name w:val="Grid Table 6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0">
    <w:name w:val="Grid Table 6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1">
    <w:name w:val="Grid Table 6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2">
    <w:name w:val="Grid Table 7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7">
    <w:name w:val="List Table 2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8">
    <w:name w:val="List Table 2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9">
    <w:name w:val="List Table 2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0">
    <w:name w:val="List Table 2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1">
    <w:name w:val="List Table 2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2">
    <w:name w:val="List Table 2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3">
    <w:name w:val="List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5 Dark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6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5">
    <w:name w:val="List Table 6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6">
    <w:name w:val="List Table 6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7">
    <w:name w:val="List Table 6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8">
    <w:name w:val="List Table 6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9">
    <w:name w:val="List Table 6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0">
    <w:name w:val="List Table 6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1">
    <w:name w:val="List Table 7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2">
    <w:name w:val="List Table 7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3">
    <w:name w:val="List Table 7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4">
    <w:name w:val="List Table 7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5">
    <w:name w:val="List Table 7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6">
    <w:name w:val="List Table 7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7">
    <w:name w:val="List Table 7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8">
    <w:name w:val="Lined - Accent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9">
    <w:name w:val="Lined - Accent 1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0">
    <w:name w:val="Lined - Accent 2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1">
    <w:name w:val="Lined - Accent 3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2">
    <w:name w:val="Lined - Accent 4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3">
    <w:name w:val="Lined - Accent 5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4">
    <w:name w:val="Lined - Accent 6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5">
    <w:name w:val="Bordered &amp; Lined - Accent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6">
    <w:name w:val="Bordered &amp; Lined - Accent 1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7">
    <w:name w:val="Bordered &amp; Lined - Accent 2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8">
    <w:name w:val="Bordered &amp; Lined - Accent 3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9">
    <w:name w:val="Bordered &amp; Lined - Accent 4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0">
    <w:name w:val="Bordered &amp; Lined - Accent 5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1">
    <w:name w:val="Bordered &amp; Lined - Accent 6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2">
    <w:name w:val="Bordered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3">
    <w:name w:val="Bordered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4">
    <w:name w:val="Bordered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5">
    <w:name w:val="Bordered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6">
    <w:name w:val="Bordered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7">
    <w:name w:val="Bordered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8">
    <w:name w:val="Bordered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79">
    <w:name w:val="footnote text"/>
    <w:basedOn w:val="896"/>
    <w:link w:val="880"/>
    <w:uiPriority w:val="99"/>
    <w:semiHidden/>
    <w:unhideWhenUsed/>
    <w:pPr>
      <w:spacing w:after="40" w:line="240" w:lineRule="auto"/>
    </w:pPr>
    <w:rPr>
      <w:sz w:val="18"/>
    </w:rPr>
  </w:style>
  <w:style w:type="character" w:styleId="880">
    <w:name w:val="Footnote Text Char"/>
    <w:link w:val="879"/>
    <w:uiPriority w:val="99"/>
    <w:rPr>
      <w:sz w:val="18"/>
    </w:rPr>
  </w:style>
  <w:style w:type="character" w:styleId="881">
    <w:name w:val="footnote reference"/>
    <w:basedOn w:val="901"/>
    <w:uiPriority w:val="99"/>
    <w:unhideWhenUsed/>
    <w:rPr>
      <w:vertAlign w:val="superscript"/>
    </w:rPr>
  </w:style>
  <w:style w:type="paragraph" w:styleId="882">
    <w:name w:val="endnote text"/>
    <w:basedOn w:val="896"/>
    <w:link w:val="883"/>
    <w:uiPriority w:val="99"/>
    <w:semiHidden/>
    <w:unhideWhenUsed/>
    <w:pPr>
      <w:spacing w:after="0" w:line="240" w:lineRule="auto"/>
    </w:pPr>
    <w:rPr>
      <w:sz w:val="20"/>
    </w:rPr>
  </w:style>
  <w:style w:type="character" w:styleId="883">
    <w:name w:val="Endnote Text Char"/>
    <w:link w:val="882"/>
    <w:uiPriority w:val="99"/>
    <w:rPr>
      <w:sz w:val="20"/>
    </w:rPr>
  </w:style>
  <w:style w:type="character" w:styleId="884">
    <w:name w:val="endnote reference"/>
    <w:basedOn w:val="901"/>
    <w:uiPriority w:val="99"/>
    <w:semiHidden/>
    <w:unhideWhenUsed/>
    <w:rPr>
      <w:vertAlign w:val="superscript"/>
    </w:rPr>
  </w:style>
  <w:style w:type="paragraph" w:styleId="885">
    <w:name w:val="toc 1"/>
    <w:basedOn w:val="896"/>
    <w:next w:val="896"/>
    <w:uiPriority w:val="39"/>
    <w:unhideWhenUsed/>
    <w:pPr>
      <w:ind w:left="0" w:right="0" w:firstLine="0"/>
      <w:spacing w:after="57"/>
    </w:pPr>
  </w:style>
  <w:style w:type="paragraph" w:styleId="886">
    <w:name w:val="toc 2"/>
    <w:basedOn w:val="896"/>
    <w:next w:val="896"/>
    <w:uiPriority w:val="39"/>
    <w:unhideWhenUsed/>
    <w:pPr>
      <w:ind w:left="283" w:right="0" w:firstLine="0"/>
      <w:spacing w:after="57"/>
    </w:pPr>
  </w:style>
  <w:style w:type="paragraph" w:styleId="887">
    <w:name w:val="toc 3"/>
    <w:basedOn w:val="896"/>
    <w:next w:val="896"/>
    <w:uiPriority w:val="39"/>
    <w:unhideWhenUsed/>
    <w:pPr>
      <w:ind w:left="567" w:right="0" w:firstLine="0"/>
      <w:spacing w:after="57"/>
    </w:pPr>
  </w:style>
  <w:style w:type="paragraph" w:styleId="888">
    <w:name w:val="toc 4"/>
    <w:basedOn w:val="896"/>
    <w:next w:val="896"/>
    <w:uiPriority w:val="39"/>
    <w:unhideWhenUsed/>
    <w:pPr>
      <w:ind w:left="850" w:right="0" w:firstLine="0"/>
      <w:spacing w:after="57"/>
    </w:pPr>
  </w:style>
  <w:style w:type="paragraph" w:styleId="889">
    <w:name w:val="toc 5"/>
    <w:basedOn w:val="896"/>
    <w:next w:val="896"/>
    <w:uiPriority w:val="39"/>
    <w:unhideWhenUsed/>
    <w:pPr>
      <w:ind w:left="1134" w:right="0" w:firstLine="0"/>
      <w:spacing w:after="57"/>
    </w:pPr>
  </w:style>
  <w:style w:type="paragraph" w:styleId="890">
    <w:name w:val="toc 6"/>
    <w:basedOn w:val="896"/>
    <w:next w:val="896"/>
    <w:uiPriority w:val="39"/>
    <w:unhideWhenUsed/>
    <w:pPr>
      <w:ind w:left="1417" w:right="0" w:firstLine="0"/>
      <w:spacing w:after="57"/>
    </w:pPr>
  </w:style>
  <w:style w:type="paragraph" w:styleId="891">
    <w:name w:val="toc 7"/>
    <w:basedOn w:val="896"/>
    <w:next w:val="896"/>
    <w:uiPriority w:val="39"/>
    <w:unhideWhenUsed/>
    <w:pPr>
      <w:ind w:left="1701" w:right="0" w:firstLine="0"/>
      <w:spacing w:after="57"/>
    </w:pPr>
  </w:style>
  <w:style w:type="paragraph" w:styleId="892">
    <w:name w:val="toc 8"/>
    <w:basedOn w:val="896"/>
    <w:next w:val="896"/>
    <w:uiPriority w:val="39"/>
    <w:unhideWhenUsed/>
    <w:pPr>
      <w:ind w:left="1984" w:right="0" w:firstLine="0"/>
      <w:spacing w:after="57"/>
    </w:pPr>
  </w:style>
  <w:style w:type="paragraph" w:styleId="893">
    <w:name w:val="toc 9"/>
    <w:basedOn w:val="896"/>
    <w:next w:val="896"/>
    <w:uiPriority w:val="39"/>
    <w:unhideWhenUsed/>
    <w:pPr>
      <w:ind w:left="2268" w:right="0" w:firstLine="0"/>
      <w:spacing w:after="57"/>
    </w:pPr>
  </w:style>
  <w:style w:type="paragraph" w:styleId="894">
    <w:name w:val="TOC Heading"/>
    <w:uiPriority w:val="39"/>
    <w:unhideWhenUsed/>
  </w:style>
  <w:style w:type="paragraph" w:styleId="895">
    <w:name w:val="table of figures"/>
    <w:basedOn w:val="896"/>
    <w:next w:val="896"/>
    <w:uiPriority w:val="99"/>
    <w:unhideWhenUsed/>
    <w:pPr>
      <w:spacing w:after="0" w:afterAutospacing="0"/>
    </w:pPr>
  </w:style>
  <w:style w:type="paragraph" w:styleId="896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97">
    <w:name w:val="Heading 1"/>
    <w:basedOn w:val="896"/>
    <w:next w:val="896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98">
    <w:name w:val="Heading 2"/>
    <w:basedOn w:val="896"/>
    <w:next w:val="896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899">
    <w:name w:val="Heading 3"/>
    <w:basedOn w:val="896"/>
    <w:next w:val="896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900">
    <w:name w:val="Heading 4"/>
    <w:basedOn w:val="896"/>
    <w:next w:val="896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901" w:default="1">
    <w:name w:val="Default Paragraph Font"/>
    <w:uiPriority w:val="1"/>
    <w:semiHidden/>
    <w:unhideWhenUsed/>
  </w:style>
  <w:style w:type="table" w:styleId="9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3" w:default="1">
    <w:name w:val="No List"/>
    <w:uiPriority w:val="99"/>
    <w:semiHidden/>
    <w:unhideWhenUsed/>
  </w:style>
  <w:style w:type="character" w:styleId="904" w:customStyle="1">
    <w:name w:val="комментарий"/>
    <w:rPr>
      <w:b/>
      <w:i/>
      <w:shd w:val="clear" w:color="auto" w:fill="ffff99"/>
    </w:rPr>
  </w:style>
  <w:style w:type="paragraph" w:styleId="905" w:customStyle="1">
    <w:name w:val="Стиль Заголовок 1 + по ширине"/>
    <w:basedOn w:val="897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906">
    <w:name w:val="Body Text Indent"/>
    <w:basedOn w:val="896"/>
    <w:pPr>
      <w:ind w:left="-360"/>
      <w:spacing w:line="240" w:lineRule="auto"/>
      <w:tabs>
        <w:tab w:val="num" w:pos="720" w:leader="none"/>
      </w:tabs>
    </w:pPr>
    <w:rPr>
      <w:sz w:val="26"/>
    </w:rPr>
  </w:style>
  <w:style w:type="paragraph" w:styleId="907">
    <w:name w:val="Footer"/>
    <w:basedOn w:val="896"/>
    <w:pPr>
      <w:tabs>
        <w:tab w:val="center" w:pos="4677" w:leader="none"/>
        <w:tab w:val="right" w:pos="9355" w:leader="none"/>
      </w:tabs>
    </w:pPr>
  </w:style>
  <w:style w:type="character" w:styleId="908">
    <w:name w:val="page number"/>
    <w:basedOn w:val="901"/>
  </w:style>
  <w:style w:type="paragraph" w:styleId="909">
    <w:name w:val="Header"/>
    <w:basedOn w:val="896"/>
    <w:link w:val="926"/>
    <w:pPr>
      <w:tabs>
        <w:tab w:val="center" w:pos="4677" w:leader="none"/>
        <w:tab w:val="right" w:pos="9355" w:leader="none"/>
      </w:tabs>
    </w:pPr>
  </w:style>
  <w:style w:type="paragraph" w:styleId="910">
    <w:name w:val="Balloon Text"/>
    <w:basedOn w:val="896"/>
    <w:semiHidden/>
    <w:rPr>
      <w:rFonts w:ascii="Tahoma" w:hAnsi="Tahoma" w:cs="Tahoma"/>
      <w:sz w:val="16"/>
      <w:szCs w:val="16"/>
    </w:rPr>
  </w:style>
  <w:style w:type="paragraph" w:styleId="911" w:customStyle="1">
    <w:name w:val="Таблица текст"/>
    <w:basedOn w:val="896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912" w:customStyle="1">
    <w:name w:val="Пункт Знак"/>
    <w:rPr>
      <w:b/>
      <w:sz w:val="28"/>
      <w:szCs w:val="28"/>
      <w:lang w:val="ru-RU" w:eastAsia="ru-RU" w:bidi="ar-SA"/>
    </w:rPr>
  </w:style>
  <w:style w:type="paragraph" w:styleId="913" w:customStyle="1">
    <w:name w:val="Пункт"/>
    <w:basedOn w:val="896"/>
    <w:link w:val="928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914" w:customStyle="1">
    <w:name w:val="Пункт-2"/>
    <w:basedOn w:val="913"/>
    <w:pPr>
      <w:keepNext/>
      <w:outlineLvl w:val="2"/>
    </w:pPr>
    <w:rPr>
      <w:b w:val="0"/>
    </w:rPr>
  </w:style>
  <w:style w:type="paragraph" w:styleId="915" w:customStyle="1">
    <w:name w:val="Знак"/>
    <w:basedOn w:val="896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16" w:customStyle="1">
    <w:name w:val="Знак"/>
    <w:basedOn w:val="896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17" w:customStyle="1">
    <w:name w:val="Знак Знак Знак"/>
    <w:basedOn w:val="896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918" w:customStyle="1">
    <w:name w:val="Знак"/>
    <w:basedOn w:val="896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19" w:customStyle="1">
    <w:name w:val="Знак Знак Знак1 Знак Знак Знак Знак Знак Знак Знак"/>
    <w:basedOn w:val="896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20">
    <w:name w:val="List Number"/>
    <w:basedOn w:val="896"/>
    <w:pPr>
      <w:numPr>
        <w:ilvl w:val="0"/>
        <w:numId w:val="2"/>
      </w:numPr>
      <w:spacing w:before="60"/>
    </w:pPr>
    <w:rPr>
      <w:bCs/>
      <w:sz w:val="22"/>
      <w:szCs w:val="24"/>
    </w:rPr>
  </w:style>
  <w:style w:type="character" w:styleId="921">
    <w:name w:val="Hyperlink"/>
    <w:rPr>
      <w:color w:val="0000ff"/>
      <w:u w:val="single"/>
    </w:rPr>
  </w:style>
  <w:style w:type="paragraph" w:styleId="922">
    <w:name w:val="Body Text Indent 2"/>
    <w:basedOn w:val="896"/>
    <w:pPr>
      <w:ind w:left="-540" w:firstLine="0"/>
      <w:jc w:val="center"/>
      <w:spacing w:line="240" w:lineRule="auto"/>
    </w:pPr>
    <w:rPr>
      <w:sz w:val="24"/>
    </w:rPr>
  </w:style>
  <w:style w:type="paragraph" w:styleId="923" w:customStyle="1">
    <w:name w:val="Обычный1"/>
    <w:pPr>
      <w:ind w:firstLine="400"/>
      <w:jc w:val="both"/>
      <w:widowControl w:val="off"/>
    </w:pPr>
    <w:rPr>
      <w:sz w:val="24"/>
    </w:rPr>
  </w:style>
  <w:style w:type="character" w:styleId="924">
    <w:name w:val="Strong"/>
    <w:qFormat/>
    <w:rPr>
      <w:b/>
      <w:bCs/>
    </w:rPr>
  </w:style>
  <w:style w:type="paragraph" w:styleId="925" w:customStyle="1">
    <w:name w:val="xl34"/>
    <w:basedOn w:val="896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926" w:customStyle="1">
    <w:name w:val="Верхний колонтитул Знак"/>
    <w:link w:val="909"/>
    <w:rPr>
      <w:sz w:val="28"/>
      <w:lang w:val="ru-RU" w:eastAsia="ru-RU" w:bidi="ar-SA"/>
    </w:rPr>
  </w:style>
  <w:style w:type="paragraph" w:styleId="927" w:customStyle="1">
    <w:name w:val="Знак Знак Знак Знак"/>
    <w:basedOn w:val="896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928" w:customStyle="1">
    <w:name w:val="Пункт Знак1"/>
    <w:link w:val="913"/>
    <w:rPr>
      <w:b/>
      <w:sz w:val="28"/>
      <w:szCs w:val="28"/>
      <w:lang w:val="ru-RU" w:eastAsia="ru-RU" w:bidi="ar-SA"/>
    </w:rPr>
  </w:style>
  <w:style w:type="paragraph" w:styleId="929" w:customStyle="1">
    <w:name w:val="Знак Знак Знак1 Знак Знак Знак Знак Знак Знак Знак"/>
    <w:basedOn w:val="896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30" w:customStyle="1">
    <w:name w:val="Знак Знак Знак Знак Знак Знак Знак"/>
    <w:basedOn w:val="896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931" w:customStyle="1">
    <w:name w:val="Ариал"/>
    <w:basedOn w:val="896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932" w:customStyle="1">
    <w:name w:val="Знак Знак Знак Знак Знак Знак Знак"/>
    <w:basedOn w:val="896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933" w:customStyle="1">
    <w:name w:val="Обычный3"/>
    <w:pPr>
      <w:ind w:firstLine="400"/>
      <w:jc w:val="both"/>
      <w:widowControl w:val="off"/>
    </w:pPr>
    <w:rPr>
      <w:sz w:val="24"/>
    </w:rPr>
  </w:style>
  <w:style w:type="paragraph" w:styleId="934" w:customStyle="1">
    <w:name w:val="Обычный4"/>
    <w:rPr>
      <w:rFonts w:ascii="Arial" w:hAnsi="Arial"/>
      <w:sz w:val="18"/>
    </w:rPr>
  </w:style>
  <w:style w:type="paragraph" w:styleId="935" w:customStyle="1">
    <w:name w:val="Обычный5"/>
    <w:pPr>
      <w:ind w:firstLine="400"/>
      <w:jc w:val="both"/>
      <w:widowControl w:val="off"/>
    </w:pPr>
    <w:rPr>
      <w:sz w:val="24"/>
    </w:rPr>
  </w:style>
  <w:style w:type="paragraph" w:styleId="936" w:customStyle="1">
    <w:name w:val="Обычный2"/>
    <w:pPr>
      <w:spacing w:before="100" w:after="100"/>
    </w:pPr>
    <w:rPr>
      <w:sz w:val="24"/>
    </w:rPr>
  </w:style>
  <w:style w:type="paragraph" w:styleId="937">
    <w:name w:val="Normal (Web)"/>
    <w:basedOn w:val="896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character" w:styleId="938" w:customStyle="1">
    <w:name w:val="webofficeattributevalue1"/>
    <w:rPr>
      <w:rFonts w:hint="default" w:ascii="Verdana" w:hAnsi="Verdana"/>
      <w:strike w:val="0"/>
      <w:color w:val="000000"/>
      <w:sz w:val="16"/>
      <w:szCs w:val="16"/>
      <w:u w:val="none"/>
    </w:rPr>
  </w:style>
  <w:style w:type="paragraph" w:styleId="939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940">
    <w:name w:val="List Paragraph"/>
    <w:basedOn w:val="896"/>
    <w:link w:val="950"/>
    <w:uiPriority w:val="34"/>
    <w:qFormat/>
    <w:pPr>
      <w:contextualSpacing/>
      <w:ind w:left="720"/>
    </w:pPr>
    <w:rPr>
      <w:lang w:eastAsia="ar-SA"/>
    </w:rPr>
  </w:style>
  <w:style w:type="character" w:styleId="941" w:customStyle="1">
    <w:name w:val="value"/>
    <w:basedOn w:val="901"/>
  </w:style>
  <w:style w:type="character" w:styleId="942" w:customStyle="1">
    <w:name w:val="x-small1"/>
    <w:rPr>
      <w:sz w:val="18"/>
      <w:szCs w:val="18"/>
    </w:rPr>
  </w:style>
  <w:style w:type="character" w:styleId="943">
    <w:name w:val="Placeholder Text"/>
    <w:uiPriority w:val="99"/>
    <w:semiHidden/>
    <w:rPr>
      <w:color w:val="808080"/>
    </w:rPr>
  </w:style>
  <w:style w:type="paragraph" w:styleId="944">
    <w:name w:val="Title"/>
    <w:basedOn w:val="896"/>
    <w:link w:val="945"/>
    <w:uiPriority w:val="10"/>
    <w:qFormat/>
    <w:pPr>
      <w:ind w:firstLine="0"/>
      <w:jc w:val="center"/>
    </w:pPr>
    <w:rPr>
      <w:szCs w:val="24"/>
    </w:rPr>
  </w:style>
  <w:style w:type="character" w:styleId="945" w:customStyle="1">
    <w:name w:val="Название Знак"/>
    <w:link w:val="944"/>
    <w:uiPriority w:val="10"/>
    <w:rPr>
      <w:sz w:val="28"/>
      <w:szCs w:val="24"/>
    </w:rPr>
  </w:style>
  <w:style w:type="table" w:styleId="946">
    <w:name w:val="Table Grid"/>
    <w:basedOn w:val="90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7" w:customStyle="1">
    <w:name w:val="Подпункт"/>
    <w:basedOn w:val="896"/>
    <w:link w:val="948"/>
    <w:pPr>
      <w:ind w:left="1701" w:hanging="1134"/>
      <w:tabs>
        <w:tab w:val="num" w:pos="1701" w:leader="none"/>
      </w:tabs>
    </w:pPr>
    <w:rPr>
      <w:sz w:val="22"/>
    </w:rPr>
  </w:style>
  <w:style w:type="character" w:styleId="948" w:customStyle="1">
    <w:name w:val="Подпункт Знак1"/>
    <w:link w:val="947"/>
    <w:rPr>
      <w:sz w:val="22"/>
    </w:rPr>
  </w:style>
  <w:style w:type="paragraph" w:styleId="949" w:customStyle="1">
    <w:name w:val="Абзац списка1"/>
    <w:basedOn w:val="896"/>
    <w:pPr>
      <w:ind w:left="720"/>
    </w:pPr>
    <w:rPr>
      <w:lang w:eastAsia="ar-SA"/>
    </w:rPr>
  </w:style>
  <w:style w:type="character" w:styleId="950" w:customStyle="1">
    <w:name w:val="Абзац списка Знак"/>
    <w:link w:val="940"/>
    <w:uiPriority w:val="34"/>
    <w:qFormat/>
    <w:rPr>
      <w:sz w:val="28"/>
      <w:lang w:eastAsia="ar-SA"/>
    </w:rPr>
  </w:style>
  <w:style w:type="paragraph" w:styleId="951" w:customStyle="1">
    <w:name w:val="ConsPlu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overPageProperties xmlns="http://schemas.microsoft.com/office/2006/coverPageProps">
  <PublishDate/>
  <Abstract/>
  <CompanyAddress>31908139384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4BF8CA44-69A5-4832-9435-3A8DEFAB9D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energy</Company>
  <DocSecurity>0</DocSecurity>
  <HyperlinksChanged>false</HyperlinksChanged>
  <LinksUpToDate>false</LinksUpToDate>
  <ScaleCrop>false</ScaleCrop>
  <SharedDoc>false</SharedDoc>
  <Template>ПрРРП1.dotx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subject>B2B-Moesk №1036357</dc:subject>
  <dc:creator/>
  <dc:description>1815</dc:description>
  <cp:lastModifiedBy>fedotychevavs</cp:lastModifiedBy>
  <cp:revision>22</cp:revision>
  <dcterms:created xsi:type="dcterms:W3CDTF">2020-11-11T07:57:00Z</dcterms:created>
  <dcterms:modified xsi:type="dcterms:W3CDTF">2025-03-20T10:09:32Z</dcterms:modified>
</cp:coreProperties>
</file>